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9" w:rsidRDefault="00072564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 w:rsidRPr="0007256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1028" type="#_x0000_t75" alt="/Volumes/Docs/Publicity/Active/Press Kits for Web Upload/2017/Topcon_Press-kit_ContextCapture/Context_Capture_1_Monitor_Cover copy.jpg" style="position:absolute;left:0;text-align:left;margin-left:190.35pt;margin-top:5.85pt;width:87.05pt;height:130.85pt;z-index:1;visibility:visible">
            <v:imagedata r:id="rId7" o:title="Context_Capture_1_Monitor_Cover copy"/>
            <w10:wrap type="square"/>
          </v:shape>
        </w:pict>
      </w: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bookmarkStart w:id="0" w:name="_GoBack"/>
      <w:bookmarkEnd w:id="0"/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E92FC2" w:rsidRDefault="00E92FC2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E92FC2" w:rsidRDefault="00E92FC2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E92FC2" w:rsidRPr="00E83BEE" w:rsidRDefault="00E92FC2" w:rsidP="00E92FC2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E83BE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Topcon annuncia un accordo per collegare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r w:rsidRPr="00E83BE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il software reality </w:t>
      </w:r>
      <w:proofErr w:type="spellStart"/>
      <w:r w:rsidRPr="00E83BE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modeling</w:t>
      </w:r>
      <w:proofErr w:type="spellEnd"/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di Bentley</w:t>
      </w:r>
      <w:r w:rsidRPr="00E83BE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con 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i </w:t>
      </w:r>
      <w:r w:rsidRPr="00E83BE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software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r w:rsidRPr="00E83BEE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APR</w:t>
      </w:r>
    </w:p>
    <w:p w:rsidR="00E92FC2" w:rsidRDefault="00E92FC2" w:rsidP="00E92FC2">
      <w:pPr>
        <w:tabs>
          <w:tab w:val="left" w:pos="270"/>
        </w:tabs>
        <w:rPr>
          <w:rFonts w:ascii="Arial" w:eastAsia="MS Mincho" w:hAnsi="Arial" w:cs="Arial"/>
          <w:color w:val="646363"/>
          <w:sz w:val="20"/>
          <w:szCs w:val="20"/>
          <w:lang w:val="it-IT"/>
        </w:rPr>
      </w:pPr>
    </w:p>
    <w:p w:rsidR="00E92FC2" w:rsidRPr="00E92FC2" w:rsidRDefault="00E92FC2" w:rsidP="00FE0421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LIVERMORE,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Calif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., USA/ CAPELLE A/D IJSSEL, Paesi Bassi –7 marzo 2017 – Topcon Positioning Group presenta</w:t>
      </w:r>
      <w:r w:rsidRPr="00E92FC2">
        <w:rPr>
          <w:rFonts w:ascii="Arial" w:eastAsia="MS Mincho" w:hAnsi="Arial" w:cs="Arial"/>
          <w:color w:val="646363"/>
          <w:sz w:val="20"/>
          <w:szCs w:val="20"/>
          <w:lang w:val="it-IT"/>
        </w:rPr>
        <w:t xml:space="preserve"> </w:t>
      </w:r>
      <w:hyperlink r:id="rId8" w:history="1">
        <w:proofErr w:type="spellStart"/>
        <w:r w:rsidRPr="00E92FC2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ContextCapture</w:t>
        </w:r>
        <w:proofErr w:type="spellEnd"/>
      </w:hyperlink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,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powered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by Bentley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Systems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, una soluzione software di reality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modeling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che sarà offerto con gli APR (Aeromobili a Pilotaggio Remoto)</w:t>
      </w:r>
      <w:r w:rsidR="00FE0421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Topcon . Il sistema è stato ideato per i professionisti del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mapping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, delle costruzioni e della topografia</w:t>
      </w:r>
      <w:r>
        <w:rPr>
          <w:rFonts w:ascii="Arial" w:eastAsia="MS Mincho" w:hAnsi="Arial" w:cs="Arial"/>
          <w:sz w:val="20"/>
          <w:szCs w:val="20"/>
          <w:lang w:val="it-IT"/>
        </w:rPr>
        <w:t>,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per trasformare rapidamente semplici fotografie e/o dati di nuvole di punti in modelli 3D reali e altamente dettagliati</w:t>
      </w:r>
      <w:r w:rsidR="00FE0421">
        <w:rPr>
          <w:rFonts w:ascii="Arial" w:eastAsia="MS Mincho" w:hAnsi="Arial" w:cs="Arial"/>
          <w:sz w:val="20"/>
          <w:szCs w:val="20"/>
          <w:lang w:val="it-IT"/>
        </w:rPr>
        <w:t>,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da usare per tutto il ciclo di vita di un progetto.</w:t>
      </w:r>
    </w:p>
    <w:p w:rsidR="00E92FC2" w:rsidRPr="00E92FC2" w:rsidRDefault="00E92FC2" w:rsidP="00E92FC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E92FC2" w:rsidRPr="00E92FC2" w:rsidRDefault="00E92FC2" w:rsidP="00FE0421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“L’offerta includerà Topcon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ContextCapture</w:t>
      </w:r>
      <w:proofErr w:type="spellEnd"/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Standard e Topcon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ContextCapture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Advanced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,” ha affermato Charles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Rihner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, vice presidente di Topcon GeoPositioning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Solutions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Group. “Il pacchetto standard sarà collegato a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Falcon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8 e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Sirius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Basic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/Pro e consentirà agli operatori di elaborare i dati provenienti da questi APR</w:t>
      </w:r>
      <w:r w:rsidR="00FE0421">
        <w:rPr>
          <w:rFonts w:ascii="Arial" w:eastAsia="MS Mincho" w:hAnsi="Arial" w:cs="Arial"/>
          <w:sz w:val="20"/>
          <w:szCs w:val="20"/>
          <w:lang w:val="it-IT"/>
        </w:rPr>
        <w:t>,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in realistiche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mesh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3D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texturizzate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, nuvole di punti e ortofoto.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ContextCapture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Advanced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>
        <w:rPr>
          <w:rFonts w:ascii="Arial" w:eastAsia="MS Mincho" w:hAnsi="Arial" w:cs="Arial"/>
          <w:sz w:val="20"/>
          <w:szCs w:val="20"/>
          <w:lang w:val="it-IT"/>
        </w:rPr>
        <w:t>consent</w:t>
      </w:r>
      <w:r w:rsidR="00FE0421">
        <w:rPr>
          <w:rFonts w:ascii="Arial" w:eastAsia="MS Mincho" w:hAnsi="Arial" w:cs="Arial"/>
          <w:sz w:val="20"/>
          <w:szCs w:val="20"/>
          <w:lang w:val="it-IT"/>
        </w:rPr>
        <w:t>irà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invece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>di elaborare dati d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i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qualsiasi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APR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. </w:t>
      </w:r>
    </w:p>
    <w:p w:rsidR="00E92FC2" w:rsidRPr="00E92FC2" w:rsidRDefault="00FE0421" w:rsidP="00FE0421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>
        <w:rPr>
          <w:rFonts w:ascii="Arial" w:eastAsia="MS Mincho" w:hAnsi="Arial" w:cs="Arial"/>
          <w:sz w:val="20"/>
          <w:szCs w:val="20"/>
          <w:lang w:val="it-IT"/>
        </w:rPr>
        <w:t xml:space="preserve">È inoltre incluso </w:t>
      </w:r>
      <w:proofErr w:type="spellStart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>ContextCapture</w:t>
      </w:r>
      <w:proofErr w:type="spellEnd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>Editor</w:t>
      </w:r>
      <w:proofErr w:type="spellEnd"/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>che permette agli operatori di sfruttare tutti i dati del progetto</w:t>
      </w:r>
      <w:r w:rsidR="00E92FC2">
        <w:rPr>
          <w:rFonts w:ascii="Arial" w:eastAsia="MS Mincho" w:hAnsi="Arial" w:cs="Arial"/>
          <w:sz w:val="20"/>
          <w:szCs w:val="20"/>
          <w:lang w:val="it-IT"/>
        </w:rPr>
        <w:t>,</w:t>
      </w:r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 xml:space="preserve"> integrando </w:t>
      </w:r>
      <w:proofErr w:type="spellStart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>mesh</w:t>
      </w:r>
      <w:proofErr w:type="spellEnd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 xml:space="preserve"> realistiche e nuvole di punti, in flussi di lavoro di infrastrutture. Il risultato è l’accesso a una vasta gamma di strumenti di reality </w:t>
      </w:r>
      <w:proofErr w:type="spellStart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>modeling</w:t>
      </w:r>
      <w:proofErr w:type="spellEnd"/>
      <w:r w:rsidR="00E92FC2" w:rsidRPr="00E92FC2">
        <w:rPr>
          <w:rFonts w:ascii="Arial" w:eastAsia="MS Mincho" w:hAnsi="Arial" w:cs="Arial"/>
          <w:sz w:val="20"/>
          <w:szCs w:val="20"/>
          <w:lang w:val="it-IT"/>
        </w:rPr>
        <w:t xml:space="preserve"> per contribuire a incrementare la produttività.”</w:t>
      </w:r>
    </w:p>
    <w:p w:rsidR="00E92FC2" w:rsidRPr="00E92FC2" w:rsidRDefault="00E92FC2" w:rsidP="00E92FC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E92FC2" w:rsidRPr="00E92FC2" w:rsidRDefault="00E92FC2" w:rsidP="00E92FC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L’integrazione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ContextCapture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Advanced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include flussi di lavoro per CAD, ispezione, GIS, ingegneria civile e topografia</w:t>
      </w:r>
      <w:r>
        <w:rPr>
          <w:rFonts w:ascii="Arial" w:eastAsia="MS Mincho" w:hAnsi="Arial" w:cs="Arial"/>
          <w:sz w:val="20"/>
          <w:szCs w:val="20"/>
          <w:lang w:val="it-IT"/>
        </w:rPr>
        <w:t>,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su dispositivi fissi e mobili</w:t>
      </w:r>
      <w:r>
        <w:rPr>
          <w:rFonts w:ascii="Arial" w:eastAsia="MS Mincho" w:hAnsi="Arial" w:cs="Arial"/>
          <w:sz w:val="20"/>
          <w:szCs w:val="20"/>
          <w:lang w:val="it-IT"/>
        </w:rPr>
        <w:t>,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in molteplici formati.</w:t>
      </w:r>
    </w:p>
    <w:p w:rsidR="00E92FC2" w:rsidRPr="00E92FC2" w:rsidRDefault="00E92FC2" w:rsidP="00E92FC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E92FC2" w:rsidRPr="00E92FC2" w:rsidRDefault="00E92FC2" w:rsidP="00E92FC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>“Questo rappresenta il passo successivo nella collaborazione tra Topcon e Bentley per portare avanti il concetto di “</w:t>
      </w:r>
      <w:proofErr w:type="spellStart"/>
      <w:r w:rsidRPr="00E92FC2">
        <w:rPr>
          <w:rFonts w:ascii="Arial" w:eastAsia="MS Mincho" w:hAnsi="Arial" w:cs="Arial"/>
          <w:i/>
          <w:sz w:val="20"/>
          <w:szCs w:val="20"/>
          <w:lang w:val="it-IT"/>
        </w:rPr>
        <w:t>constructioneering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”, che permette agli utenti di </w:t>
      </w:r>
      <w:r>
        <w:rPr>
          <w:rFonts w:ascii="Arial" w:eastAsia="MS Mincho" w:hAnsi="Arial" w:cs="Arial"/>
          <w:sz w:val="20"/>
          <w:szCs w:val="20"/>
          <w:lang w:val="it-IT"/>
        </w:rPr>
        <w:t>partire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da un contesto di rilievo topografico preso dalla realtà e sfruttare al massimo e aggiornare i modelli digitali di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engineering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attraverso tutto il processo di costruzione, e infine fornire l’infrastruttura “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as-built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” in tempo reale,” ha affermato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Rihner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E92FC2" w:rsidRPr="00E92FC2" w:rsidRDefault="00E92FC2" w:rsidP="00E92FC2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E92FC2" w:rsidRPr="00E92FC2" w:rsidRDefault="00E92FC2" w:rsidP="00FE0421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Phil Christensen, vice presidente di Bentley per il settore reality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modeling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, ha affermato: “Siamo entusiasti di portare sul mercato questa nuova offerta congiunta che permette una maggiore efficienza e produttività nel mercato globale delle costruzioni. La nostra soluzione di reality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modeling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per professionisti ne</w:t>
      </w:r>
      <w:r w:rsidR="00FE0421">
        <w:rPr>
          <w:rFonts w:ascii="Arial" w:eastAsia="MS Mincho" w:hAnsi="Arial" w:cs="Arial"/>
          <w:sz w:val="20"/>
          <w:szCs w:val="20"/>
          <w:lang w:val="it-IT"/>
        </w:rPr>
        <w:t xml:space="preserve">i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>settor</w:t>
      </w:r>
      <w:r w:rsidR="00FE0421">
        <w:rPr>
          <w:rFonts w:ascii="Arial" w:eastAsia="MS Mincho" w:hAnsi="Arial" w:cs="Arial"/>
          <w:sz w:val="20"/>
          <w:szCs w:val="20"/>
          <w:lang w:val="it-IT"/>
        </w:rPr>
        <w:t xml:space="preserve">i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del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mapping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, delle costruzioni e della topografia, consentirà loro di trasformare rapidamente le immagini </w:t>
      </w:r>
      <w:r>
        <w:rPr>
          <w:rFonts w:ascii="Arial" w:eastAsia="MS Mincho" w:hAnsi="Arial" w:cs="Arial"/>
          <w:sz w:val="20"/>
          <w:szCs w:val="20"/>
          <w:lang w:val="it-IT"/>
        </w:rPr>
        <w:t>prese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 dagli APR in modelli tridimensionali della realtà "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engineering-ready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", da usare e aggiornare immediatamente per tutto il ciclo di vita costruttivo. Da quando abbiamo annunciato la nostra partnership “</w:t>
      </w:r>
      <w:proofErr w:type="spellStart"/>
      <w:r w:rsidRPr="00E92FC2">
        <w:rPr>
          <w:rFonts w:ascii="Arial" w:eastAsia="MS Mincho" w:hAnsi="Arial" w:cs="Arial"/>
          <w:i/>
          <w:sz w:val="20"/>
          <w:szCs w:val="20"/>
          <w:lang w:val="it-IT"/>
        </w:rPr>
        <w:t>constructioneering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” lo scorso novembre, riteniamo che si tratti solo di una delle numerose nuove integrazioni tra Bentley e Topcon che permetteranno di conseguire risultati migliori nei progetti.”</w:t>
      </w:r>
    </w:p>
    <w:p w:rsidR="00494E6D" w:rsidRPr="00E92FC2" w:rsidRDefault="00494E6D" w:rsidP="00494E6D">
      <w:pPr>
        <w:tabs>
          <w:tab w:val="left" w:pos="270"/>
        </w:tabs>
        <w:rPr>
          <w:rFonts w:ascii="Arial" w:hAnsi="Arial"/>
          <w:sz w:val="22"/>
          <w:szCs w:val="22"/>
          <w:lang w:val="it-IT"/>
        </w:rPr>
      </w:pPr>
    </w:p>
    <w:p w:rsidR="007543F2" w:rsidRPr="00E92FC2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E92FC2">
        <w:rPr>
          <w:rFonts w:ascii="Arial" w:hAnsi="Arial" w:cs="Arial"/>
          <w:sz w:val="16"/>
          <w:szCs w:val="18"/>
          <w:lang w:val="it-IT"/>
        </w:rPr>
        <w:t># # #</w:t>
      </w:r>
    </w:p>
    <w:p w:rsidR="008E0F3F" w:rsidRPr="00E92FC2" w:rsidRDefault="008E0F3F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6B1D22" w:rsidRDefault="006B1D22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E92FC2" w:rsidRDefault="00E92FC2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lastRenderedPageBreak/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9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072564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072564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072564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0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  <w:r w:rsidRPr="00E92FC2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 xml:space="preserve">Informazioni su Bentley </w:t>
      </w:r>
      <w:proofErr w:type="spellStart"/>
      <w:r w:rsidRPr="00E92FC2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Systems</w:t>
      </w:r>
      <w:proofErr w:type="spellEnd"/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Cs/>
          <w:color w:val="808080"/>
          <w:sz w:val="16"/>
          <w:szCs w:val="18"/>
          <w:lang w:val="it-IT"/>
        </w:rPr>
      </w:pPr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Bentley </w:t>
      </w:r>
      <w:proofErr w:type="spellStart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Systems</w:t>
      </w:r>
      <w:proofErr w:type="spellEnd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 è un leader globale nel fornire ad architetti, ingegneri, professionisti </w:t>
      </w:r>
      <w:proofErr w:type="spellStart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geospaziali</w:t>
      </w:r>
      <w:proofErr w:type="spellEnd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, costruttori e operatori in proprio, soluzioni software complete per migliorare la progettazione, la costruzione e le operazioni delle varie infrastrutture. Gli utenti di Bentley sfruttano appieno la mobilità delle informazioni tra le varie discipline e per tutto il ciclo di vita dell’infrastruttura, per offrire progetti e </w:t>
      </w:r>
      <w:proofErr w:type="spellStart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asset</w:t>
      </w:r>
      <w:proofErr w:type="spellEnd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 più performanti. Le soluzioni Bentley comprendono applicazioni </w:t>
      </w:r>
      <w:proofErr w:type="spellStart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MicroStation</w:t>
      </w:r>
      <w:proofErr w:type="spellEnd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 per il modellamento delle informazioni, servizi di collaborazione </w:t>
      </w:r>
      <w:proofErr w:type="spellStart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ProjectWise</w:t>
      </w:r>
      <w:proofErr w:type="spellEnd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 per fornire progetti integrati, e servizi per operazioni </w:t>
      </w:r>
      <w:proofErr w:type="spellStart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>AssetWise</w:t>
      </w:r>
      <w:proofErr w:type="spellEnd"/>
      <w:r w:rsidRPr="00E92FC2">
        <w:rPr>
          <w:rFonts w:asciiTheme="minorBidi" w:hAnsiTheme="minorBidi" w:cstheme="minorBidi"/>
          <w:bCs/>
          <w:color w:val="808080"/>
          <w:sz w:val="14"/>
          <w:szCs w:val="14"/>
          <w:lang w:val="it-IT"/>
        </w:rPr>
        <w:t xml:space="preserve"> per realizzare infrastrutture intelligenti, coadiuvate da servizi professionali in tutto il mondo e servizi gestiti in maniera completa. Fondata nel 1984, Bentley conta più di 3.000 colleghi in più di 50 paesi, ricavi superiori a 600 milioni di dollari all’anno, e dal 2009 ha investito più di 1 miliardo di dollari in ricerca, sviluppo e acquisizioni. Ulteriori informazioni sono disponibili nel sito www.bentley.com.</w:t>
      </w:r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t>#  #  #</w:t>
      </w:r>
    </w:p>
    <w:p w:rsidR="00E92FC2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A56366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FE0421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  <w:r w:rsidRPr="00FE0421">
        <w:rPr>
          <w:rFonts w:ascii="Arial" w:hAnsi="Arial"/>
          <w:color w:val="808080"/>
          <w:sz w:val="14"/>
          <w:szCs w:val="18"/>
        </w:rPr>
        <w:t>Topcon Positioning Group</w:t>
      </w:r>
    </w:p>
    <w:p w:rsidR="006B1D22" w:rsidRPr="00FE0421" w:rsidRDefault="00072564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  <w:hyperlink r:id="rId11" w:history="1">
        <w:r w:rsidR="006B1D22" w:rsidRPr="00FE0421">
          <w:rPr>
            <w:rStyle w:val="Collegamentoipertestuale"/>
            <w:rFonts w:ascii="Arial" w:hAnsi="Arial"/>
            <w:sz w:val="14"/>
            <w:szCs w:val="18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proofErr w:type="spellStart"/>
      <w:r w:rsidRPr="006B1D22">
        <w:rPr>
          <w:rFonts w:ascii="Arial" w:hAnsi="Arial"/>
          <w:color w:val="808080"/>
          <w:sz w:val="14"/>
          <w:szCs w:val="18"/>
          <w:lang w:val="it-IT"/>
        </w:rPr>
        <w:t>Europe</w:t>
      </w:r>
      <w:proofErr w:type="spellEnd"/>
      <w:r w:rsidRPr="006B1D22">
        <w:rPr>
          <w:rFonts w:ascii="Arial" w:hAnsi="Arial"/>
          <w:color w:val="808080"/>
          <w:sz w:val="14"/>
          <w:szCs w:val="18"/>
          <w:lang w:val="it-IT"/>
        </w:rPr>
        <w:t>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0F6602" w:rsidRDefault="001631B8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33E9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E92FC2" w:rsidRDefault="00E92FC2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</w:rPr>
      </w:pPr>
      <w:r w:rsidRPr="00E92FC2">
        <w:rPr>
          <w:rFonts w:asciiTheme="minorBidi" w:hAnsiTheme="minorBidi" w:cstheme="minorBidi"/>
          <w:color w:val="808080"/>
          <w:sz w:val="14"/>
          <w:szCs w:val="14"/>
        </w:rPr>
        <w:t>Bentley Systems</w:t>
      </w: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</w:rPr>
      </w:pPr>
      <w:r w:rsidRPr="00E92FC2">
        <w:rPr>
          <w:rFonts w:asciiTheme="minorBidi" w:hAnsiTheme="minorBidi" w:cstheme="minorBidi"/>
          <w:color w:val="808080"/>
          <w:sz w:val="14"/>
          <w:szCs w:val="14"/>
        </w:rPr>
        <w:t>Gail McGrew</w:t>
      </w: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</w:rPr>
      </w:pPr>
      <w:r w:rsidRPr="00E92FC2">
        <w:rPr>
          <w:rFonts w:asciiTheme="minorBidi" w:hAnsiTheme="minorBidi" w:cstheme="minorBidi"/>
          <w:color w:val="808080"/>
          <w:sz w:val="14"/>
          <w:szCs w:val="14"/>
        </w:rPr>
        <w:t>+1 610 458 2752</w:t>
      </w: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</w:rPr>
      </w:pPr>
      <w:r w:rsidRPr="00E92FC2">
        <w:rPr>
          <w:rFonts w:asciiTheme="minorBidi" w:hAnsiTheme="minorBidi" w:cstheme="minorBidi"/>
          <w:color w:val="808080"/>
          <w:sz w:val="14"/>
          <w:szCs w:val="14"/>
        </w:rPr>
        <w:t>gail.mcgrew@bentley.com</w:t>
      </w: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</w:rPr>
      </w:pPr>
      <w:proofErr w:type="spellStart"/>
      <w:r w:rsidRPr="00E92FC2">
        <w:rPr>
          <w:rFonts w:asciiTheme="minorBidi" w:hAnsiTheme="minorBidi" w:cstheme="minorBidi"/>
          <w:color w:val="808080"/>
          <w:sz w:val="14"/>
          <w:szCs w:val="14"/>
        </w:rPr>
        <w:t>Seguiteci</w:t>
      </w:r>
      <w:proofErr w:type="spellEnd"/>
      <w:r w:rsidRPr="00E92FC2">
        <w:rPr>
          <w:rFonts w:asciiTheme="minorBidi" w:hAnsiTheme="minorBidi" w:cstheme="minorBidi"/>
          <w:color w:val="808080"/>
          <w:sz w:val="14"/>
          <w:szCs w:val="14"/>
        </w:rPr>
        <w:t xml:space="preserve"> </w:t>
      </w:r>
      <w:proofErr w:type="spellStart"/>
      <w:r w:rsidRPr="00E92FC2">
        <w:rPr>
          <w:rFonts w:asciiTheme="minorBidi" w:hAnsiTheme="minorBidi" w:cstheme="minorBidi"/>
          <w:color w:val="808080"/>
          <w:sz w:val="14"/>
          <w:szCs w:val="14"/>
        </w:rPr>
        <w:t>su</w:t>
      </w:r>
      <w:proofErr w:type="spellEnd"/>
      <w:r w:rsidRPr="00E92FC2">
        <w:rPr>
          <w:rFonts w:asciiTheme="minorBidi" w:hAnsiTheme="minorBidi" w:cstheme="minorBidi"/>
          <w:color w:val="808080"/>
          <w:sz w:val="14"/>
          <w:szCs w:val="14"/>
        </w:rPr>
        <w:t xml:space="preserve"> Twitter:</w:t>
      </w:r>
    </w:p>
    <w:p w:rsidR="00E92FC2" w:rsidRPr="00E92FC2" w:rsidRDefault="00E92FC2" w:rsidP="00E92FC2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</w:rPr>
      </w:pPr>
      <w:r w:rsidRPr="00E92FC2">
        <w:rPr>
          <w:rFonts w:asciiTheme="minorBidi" w:hAnsiTheme="minorBidi" w:cstheme="minorBidi"/>
          <w:color w:val="808080"/>
          <w:sz w:val="14"/>
          <w:szCs w:val="14"/>
        </w:rPr>
        <w:t>@</w:t>
      </w:r>
      <w:proofErr w:type="spellStart"/>
      <w:r w:rsidRPr="00E92FC2">
        <w:rPr>
          <w:rFonts w:asciiTheme="minorBidi" w:hAnsiTheme="minorBidi" w:cstheme="minorBidi"/>
          <w:color w:val="808080"/>
          <w:sz w:val="14"/>
          <w:szCs w:val="14"/>
        </w:rPr>
        <w:t>BentleySystems</w:t>
      </w:r>
      <w:proofErr w:type="spellEnd"/>
    </w:p>
    <w:p w:rsidR="00E92FC2" w:rsidRPr="0079310B" w:rsidRDefault="00E92FC2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</w:p>
    <w:sectPr w:rsidR="00E92FC2" w:rsidRPr="0079310B" w:rsidSect="0009234C">
      <w:headerReference w:type="first" r:id="rId12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A5B" w:rsidRDefault="00271A5B">
      <w:r>
        <w:separator/>
      </w:r>
    </w:p>
  </w:endnote>
  <w:endnote w:type="continuationSeparator" w:id="0">
    <w:p w:rsidR="00271A5B" w:rsidRDefault="00271A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A5B" w:rsidRDefault="00271A5B">
      <w:r>
        <w:separator/>
      </w:r>
    </w:p>
  </w:footnote>
  <w:footnote w:type="continuationSeparator" w:id="0">
    <w:p w:rsidR="00271A5B" w:rsidRDefault="00271A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072564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072564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8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51AA"/>
    <w:rsid w:val="00283421"/>
    <w:rsid w:val="00284512"/>
    <w:rsid w:val="002A0183"/>
    <w:rsid w:val="002A3171"/>
    <w:rsid w:val="002A6605"/>
    <w:rsid w:val="002B2158"/>
    <w:rsid w:val="002B2CC9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C441F"/>
    <w:rsid w:val="009D22F7"/>
    <w:rsid w:val="009D63D1"/>
    <w:rsid w:val="00A02B51"/>
    <w:rsid w:val="00A06D66"/>
    <w:rsid w:val="00A25B25"/>
    <w:rsid w:val="00A32C8A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software-solutions/mass-data-mapping/contextcaptur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rpComm@topcon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lobal.top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/>
      <vt:lpstr/>
      <vt:lpstr/>
      <vt:lpstr>Topcon presenta Elite Survey Suite</vt:lpstr>
    </vt:vector>
  </TitlesOfParts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2017-03-17T08:01:00Z</dcterms:modified>
</cp:coreProperties>
</file>